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DABF" w14:textId="2783B358" w:rsidR="00A0705D" w:rsidRDefault="00A0705D" w:rsidP="00A0705D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5A96AF" wp14:editId="3983AFE8">
            <wp:simplePos x="0" y="0"/>
            <wp:positionH relativeFrom="column">
              <wp:posOffset>0</wp:posOffset>
            </wp:positionH>
            <wp:positionV relativeFrom="paragraph">
              <wp:posOffset>-277495</wp:posOffset>
            </wp:positionV>
            <wp:extent cx="1030605" cy="1068705"/>
            <wp:effectExtent l="0" t="0" r="1079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A_logo_Oransje_RGB-kopi 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E8C21" w14:textId="77777777" w:rsidR="00A0705D" w:rsidRDefault="00A0705D" w:rsidP="00A0705D">
      <w:pPr>
        <w:rPr>
          <w:b/>
          <w:sz w:val="28"/>
          <w:szCs w:val="28"/>
        </w:rPr>
      </w:pPr>
    </w:p>
    <w:p w14:paraId="1A83A08E" w14:textId="77777777" w:rsidR="00A0705D" w:rsidRDefault="00A0705D" w:rsidP="00A0705D">
      <w:pPr>
        <w:rPr>
          <w:b/>
          <w:sz w:val="28"/>
          <w:szCs w:val="28"/>
        </w:rPr>
      </w:pPr>
    </w:p>
    <w:p w14:paraId="6382A8BB" w14:textId="77777777" w:rsidR="00A0705D" w:rsidRDefault="00A0705D" w:rsidP="00A0705D">
      <w:pPr>
        <w:jc w:val="center"/>
        <w:rPr>
          <w:b/>
          <w:sz w:val="28"/>
          <w:szCs w:val="28"/>
        </w:rPr>
      </w:pPr>
    </w:p>
    <w:p w14:paraId="616A9548" w14:textId="77777777" w:rsidR="00CA1CCA" w:rsidRDefault="00CA1CCA" w:rsidP="00382349">
      <w:pPr>
        <w:rPr>
          <w:b/>
          <w:sz w:val="28"/>
          <w:szCs w:val="28"/>
        </w:rPr>
      </w:pPr>
    </w:p>
    <w:p w14:paraId="7D324E5A" w14:textId="16A96B7A" w:rsidR="00664409" w:rsidRDefault="00151957" w:rsidP="00382349">
      <w:pPr>
        <w:rPr>
          <w:b/>
          <w:sz w:val="28"/>
          <w:szCs w:val="28"/>
        </w:rPr>
      </w:pPr>
      <w:r w:rsidRPr="00151957">
        <w:rPr>
          <w:b/>
          <w:sz w:val="28"/>
          <w:szCs w:val="28"/>
        </w:rPr>
        <w:t>Veiledning til musikkforlagsavtale</w:t>
      </w:r>
    </w:p>
    <w:p w14:paraId="1BCEF4A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</w:p>
    <w:p w14:paraId="1A98326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Musikkforlagsavtalen er den formelle avtalen som fastsetter hvilke rettigheter som overdras til forlaget</w:t>
      </w:r>
    </w:p>
    <w:p w14:paraId="5BD35ED5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og vilkårene forbundet med dette. Denne avtalen er en verksavtale, og gjelder ett eller flere verk.</w:t>
      </w:r>
    </w:p>
    <w:p w14:paraId="5EA2BFE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</w:p>
    <w:p w14:paraId="56E9E60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Til denne avtalen foreligger det forskjellige vedlegg hvis man har behov for å spesifisere vilkårene</w:t>
      </w:r>
    </w:p>
    <w:p w14:paraId="662B3DF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innenfor et bestemt forvaltningsområde. I enkelte tilfeller kan det også være nødvendig med en</w:t>
      </w:r>
    </w:p>
    <w:p w14:paraId="23F40964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spesialavtale, som for eksempel:</w:t>
      </w:r>
    </w:p>
    <w:p w14:paraId="6D8D3E7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</w:p>
    <w:p w14:paraId="6418F5B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generalavtale</w:t>
      </w:r>
    </w:p>
    <w:p w14:paraId="2C96D2F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synkroniseringsavtale</w:t>
      </w:r>
    </w:p>
    <w:p w14:paraId="3127CF4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trykningsavtale</w:t>
      </w:r>
    </w:p>
    <w:p w14:paraId="5F48B60E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tilleggsavtale for forskudd</w:t>
      </w:r>
    </w:p>
    <w:p w14:paraId="24A9359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</w:p>
    <w:p w14:paraId="037D254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Det er de tre gruppeforeningene i TONO som i fellesskap har utarbeidet avtaleteksten. Da de aller</w:t>
      </w:r>
    </w:p>
    <w:p w14:paraId="730D029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fleste norske rettighetshavere er tilknyttet TONO, brukes organisasjonens navn gjennomgående i</w:t>
      </w:r>
    </w:p>
    <w:p w14:paraId="5529523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avtalen som fellesbetegnelse for TONO og tilsvarende forvaltningsselskaper i andre land.</w:t>
      </w:r>
    </w:p>
    <w:p w14:paraId="2D43EF7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 å inngå denne avtalen, må du være tilknyttet TONO eller et forvaltningsselskap som har gjensidig</w:t>
      </w:r>
    </w:p>
    <w:p w14:paraId="22462F6D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representasjonsavtale med TONO.</w:t>
      </w:r>
    </w:p>
    <w:p w14:paraId="1522077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</w:p>
    <w:p w14:paraId="79962CD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TONO har godkjent avtalens standardtekst når det gjelder de punktene hvor TONOs eller NCBs</w:t>
      </w:r>
    </w:p>
    <w:p w14:paraId="1143B99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forvaltning er berørt. TONO har ikke gjennomgått teksten under de punkter der TONOs/NCBs</w:t>
      </w:r>
    </w:p>
    <w:p w14:paraId="6E344673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forvaltning ikke er berørt.</w:t>
      </w:r>
    </w:p>
    <w:p w14:paraId="5585F9C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</w:p>
    <w:p w14:paraId="667F8D2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</w:t>
      </w:r>
    </w:p>
    <w:p w14:paraId="465625C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1.1</w:t>
      </w:r>
    </w:p>
    <w:p w14:paraId="71F4D1C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Er det flere enn to opphavsmenn til Verket, før antall inn i avtalen. Deretter oppgis deres navn,</w:t>
      </w:r>
    </w:p>
    <w:p w14:paraId="5820DB38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fødselsnummer, kontaktpunkter og bankkontonumre i vedlegget til avtalen.</w:t>
      </w:r>
    </w:p>
    <w:p w14:paraId="377B0D1B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7F86CD0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1.2</w:t>
      </w:r>
    </w:p>
    <w:p w14:paraId="7174960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Ved større verk med mange satser, sangsykluser, musikals m.m., skal alle titler på</w:t>
      </w:r>
    </w:p>
    <w:p w14:paraId="20AB85F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satsene/enkeltsangene oppgis. I slike tilfeller bruker man vedlegget til avtalen.</w:t>
      </w:r>
    </w:p>
    <w:p w14:paraId="6F40552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Verksnummer blir gitt av TONO ved registrering av nye verk. Verksnummeret er unikt for Verket og er</w:t>
      </w:r>
    </w:p>
    <w:p w14:paraId="1210EC3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en nyttig informasjon å ha i avtalen, selv om den ikke er påkrevd. På eksisterende verk vil du finne</w:t>
      </w:r>
    </w:p>
    <w:p w14:paraId="2E4251B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nummeret i en tidligere avregning. Er Verket nytt og ikke registrert ved avtaleinngåelsen, anbefales</w:t>
      </w:r>
    </w:p>
    <w:p w14:paraId="68A84291" w14:textId="382B984C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det at verksnummeret føres inn etter</w:t>
      </w:r>
      <w:r w:rsidR="00CA1CCA">
        <w:rPr>
          <w:rFonts w:ascii="Calibri" w:hAnsi="Calibri"/>
          <w:sz w:val="22"/>
          <w:szCs w:val="22"/>
        </w:rPr>
        <w:t xml:space="preserve"> at Verket er blitt registrert. </w:t>
      </w:r>
      <w:r w:rsidRPr="00151957">
        <w:rPr>
          <w:rFonts w:ascii="Calibri" w:hAnsi="Calibri"/>
          <w:sz w:val="22"/>
          <w:szCs w:val="22"/>
        </w:rPr>
        <w:t>Musikkforlaget kan ha flere kataloger. Dersom dette er tilfelle, må forlaget påse at det påføres riktig</w:t>
      </w:r>
      <w:r w:rsidR="00CA1CCA">
        <w:rPr>
          <w:rFonts w:ascii="Calibri" w:hAnsi="Calibri"/>
          <w:sz w:val="22"/>
          <w:szCs w:val="22"/>
        </w:rPr>
        <w:t xml:space="preserve"> katalogbetegnelse. </w:t>
      </w:r>
      <w:r w:rsidRPr="00151957">
        <w:rPr>
          <w:rFonts w:ascii="Calibri" w:hAnsi="Calibri"/>
          <w:sz w:val="22"/>
          <w:szCs w:val="22"/>
        </w:rPr>
        <w:t>Dersom Verket har en tittel som tilsvarer en av sangtitlene, bør dette presiseres.</w:t>
      </w:r>
    </w:p>
    <w:p w14:paraId="1A0E90D7" w14:textId="2EF539E0" w:rsidR="00151957" w:rsidRPr="00151957" w:rsidRDefault="00151957" w:rsidP="00151957">
      <w:pPr>
        <w:rPr>
          <w:rFonts w:ascii="Calibri" w:hAnsi="Calibri"/>
          <w:sz w:val="22"/>
          <w:szCs w:val="22"/>
        </w:rPr>
      </w:pPr>
    </w:p>
    <w:p w14:paraId="3BD74B9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1.2.1</w:t>
      </w:r>
    </w:p>
    <w:p w14:paraId="4D7CB92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Betegnelser i tabellen:</w:t>
      </w:r>
    </w:p>
    <w:p w14:paraId="44D6DA7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CAE-kode: C = komponist, A = tekstforfatter, CA = komponist/ tekstforfatter, AR =</w:t>
      </w:r>
    </w:p>
    <w:p w14:paraId="0187D8E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musikkarrangør/bearbeider, SA = oversetter/ subtekstforfatter. Kodene E og SE er</w:t>
      </w:r>
    </w:p>
    <w:p w14:paraId="5398EF4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forbeholdt musikkforlag og subforlag (kolonnen lengst til høyre).</w:t>
      </w:r>
    </w:p>
    <w:p w14:paraId="2D2177E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Medl.nr.: Medlemsnummer i TONO. Dette finner du på en tidligere avregning eller i</w:t>
      </w:r>
    </w:p>
    <w:p w14:paraId="7802965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forvaltningskontrakten din.</w:t>
      </w:r>
    </w:p>
    <w:p w14:paraId="164D656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lastRenderedPageBreak/>
        <w:t>IPI-nummer: (”Interested party information”) er et internasjonalt identifikasjonsnummer for</w:t>
      </w:r>
    </w:p>
    <w:p w14:paraId="3237573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opphavsmenn og musikkforlag, som brukes av alle TONO-selskaper. Du finner ditt</w:t>
      </w:r>
    </w:p>
    <w:p w14:paraId="1019A11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IPI-nummer for eksempel ved å logge deg inn på TONOs webtjenester.</w:t>
      </w:r>
    </w:p>
    <w:p w14:paraId="4244B29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Opphavsmann: Opphavsmannens navn. Dersom et verk helt eller delvis er falt i det fri og har en</w:t>
      </w:r>
    </w:p>
    <w:p w14:paraId="6084F5A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melodi eller tekst som ikke lenger er beskyttet, kan det i kolonnen for opphavsmann</w:t>
      </w:r>
    </w:p>
    <w:p w14:paraId="67D189A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benyttes forkortelsen DP (”domaine publique”) eller trad. (se nærmere om disse</w:t>
      </w:r>
    </w:p>
    <w:p w14:paraId="5EF9D150" w14:textId="77777777" w:rsidR="00CA1CCA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begr</w:t>
      </w:r>
      <w:r w:rsidR="00CA1CCA">
        <w:rPr>
          <w:rFonts w:ascii="Calibri" w:hAnsi="Calibri"/>
          <w:sz w:val="22"/>
          <w:szCs w:val="22"/>
        </w:rPr>
        <w:t xml:space="preserve">epene i definisjonsoversikten). </w:t>
      </w:r>
    </w:p>
    <w:p w14:paraId="18398F3E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7A88C897" w14:textId="30DFE3F9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Andel: Opphavsmannens andel i Verket. Det vil avhjelpe alle parter at opphavsmennene er</w:t>
      </w:r>
    </w:p>
    <w:p w14:paraId="6C843A3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enige om fordelingen seg imellom. Opphavsmennene oppfordres til ryddighet i</w:t>
      </w:r>
    </w:p>
    <w:p w14:paraId="27BA6FC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forbindelse med avtaler om fordeling i Verket. I avtalen spesifiseres kun andelen til de</w:t>
      </w:r>
    </w:p>
    <w:p w14:paraId="365FF63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opphavsmenn som er part i avtalen. Den interne fordelingen oppgis imidlertid på</w:t>
      </w:r>
    </w:p>
    <w:p w14:paraId="1A76A282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TONOs anmeldelsesskjema.</w:t>
      </w:r>
    </w:p>
    <w:p w14:paraId="7B7E6A95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544523F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1.2.2</w:t>
      </w:r>
    </w:p>
    <w:p w14:paraId="7B8203F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Du garanterer at Verket, så langt du har kjennskap til det, er originalt og at du ikke har inngått avtaler</w:t>
      </w:r>
    </w:p>
    <w:p w14:paraId="45DFD66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som kommer i konflikt med denne.</w:t>
      </w:r>
    </w:p>
    <w:p w14:paraId="3731110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Uttrykket ”intimt samarbeid” innebærer at alle opphavsmenn er enige i at dette er et verk man har gjort</w:t>
      </w:r>
    </w:p>
    <w:p w14:paraId="7065EFD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 fellesskap – et såkalt ”fellesverk” – og at rettighetene fordeles i henhold til avtalen selv om for</w:t>
      </w:r>
    </w:p>
    <w:p w14:paraId="11AEBF7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eksempel bare tekst eller melodi fremføres/utgis.</w:t>
      </w:r>
    </w:p>
    <w:p w14:paraId="77F4AA5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Det motsatte av intimt samarbeid er hvis en komponist bruker en eksisterende tekst eller en</w:t>
      </w:r>
    </w:p>
    <w:p w14:paraId="0037076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tekstforfatter skriver tekst på en eksisterende melodi. Dette kalles et sammensatt verk. Da må det</w:t>
      </w:r>
    </w:p>
    <w:p w14:paraId="46A801B7" w14:textId="497ECEA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innhentes tillatelse fra de andre rettighetshaverne og den nye melodien/teksten vil betraktes som noneksklusiv.</w:t>
      </w:r>
      <w:r>
        <w:rPr>
          <w:rFonts w:ascii="Calibri" w:hAnsi="Calibri"/>
          <w:sz w:val="22"/>
          <w:szCs w:val="22"/>
        </w:rPr>
        <w:t xml:space="preserve"> </w:t>
      </w:r>
      <w:r w:rsidRPr="00151957">
        <w:rPr>
          <w:rFonts w:ascii="Calibri" w:hAnsi="Calibri"/>
          <w:sz w:val="22"/>
          <w:szCs w:val="22"/>
        </w:rPr>
        <w:t>I så fall bør det lages et eget vedlegg.</w:t>
      </w:r>
    </w:p>
    <w:p w14:paraId="7338F172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3656AD5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1.2.3</w:t>
      </w:r>
    </w:p>
    <w:p w14:paraId="3645812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Du kan bruke temaer og kompositoriske ideer fra dette Verket i andre verk, så lenge det nye Verket er</w:t>
      </w:r>
    </w:p>
    <w:p w14:paraId="2377BF9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nyskapende. Er du i tvil, er det lurt å ta dette opp med Musikkforlaget på forhånd.</w:t>
      </w:r>
    </w:p>
    <w:p w14:paraId="43FE775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180-dagersfristen er i samsvar med vanlig praksis, og begynner å løpe når Musikkforlaget er blitt gjort</w:t>
      </w:r>
    </w:p>
    <w:p w14:paraId="14365E17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oppmerksom på det nye verket.</w:t>
      </w:r>
    </w:p>
    <w:p w14:paraId="6A939DE5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04C4656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1.3</w:t>
      </w:r>
    </w:p>
    <w:p w14:paraId="7D722FF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Gjør noe land beskyttelse av opphavsrett, dens fornyelse eller dens forlengelse, avhengig av</w:t>
      </w:r>
    </w:p>
    <w:p w14:paraId="20A664D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anmeldelse eller annen forholdsregel i opphavsmannens eller Forlagets navn, forplikter begge parter,</w:t>
      </w:r>
    </w:p>
    <w:p w14:paraId="2A76F40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på Forlagets anmodning, å utstede alle nødvendige erklæringer for at slik beskyttelse skal kunne</w:t>
      </w:r>
    </w:p>
    <w:p w14:paraId="307D8B2A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oppnås.</w:t>
      </w:r>
    </w:p>
    <w:p w14:paraId="3C1D4138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5B50881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1.3.1</w:t>
      </w:r>
    </w:p>
    <w:p w14:paraId="3B81151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 aller fleste nyskrevne verk forlegges for ”life of copyright ”. Det betyr at avtalen gjelder så lenge</w:t>
      </w:r>
    </w:p>
    <w:p w14:paraId="6214266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Verket er opphavsrettlig beskyttet. Denne grensen var tidligere henholdsvis 30 og senere 50 år (og i</w:t>
      </w:r>
    </w:p>
    <w:p w14:paraId="3A11CC4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en periode dessuten 56 år)etter lengstlevende opphavsmanns død, og er i dag 70 år.</w:t>
      </w:r>
    </w:p>
    <w:p w14:paraId="57D5B21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På nyskrevne verk gjelder avtalen fra dag én – eller fra det tidspunkt det foreligger en eller annen form</w:t>
      </w:r>
    </w:p>
    <w:p w14:paraId="3C1E7D2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 utgivelse eller fremføring som utløser vederlag.</w:t>
      </w:r>
    </w:p>
    <w:p w14:paraId="322ACC88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1ECAB93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1.3.2</w:t>
      </w:r>
    </w:p>
    <w:p w14:paraId="623057E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Når det gjelder verk som allerede genererer inntekter, stiller det seg litt annerledes. Det bør</w:t>
      </w:r>
    </w:p>
    <w:p w14:paraId="73A952D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spesifiseres om inntektene gjelder f.o.m. den dagen avtalen er inngått eller om forlaget kan innkassere</w:t>
      </w:r>
    </w:p>
    <w:p w14:paraId="41DB1F9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retroaktivt – dvs. alle uavregnede inntekter på Verket, selv om de er generert før avtalen er inngått.</w:t>
      </w:r>
    </w:p>
    <w:p w14:paraId="0E5729C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Det samme må tas hensyn til når avtalen utgår. Det bør spesifiseres om inntektene slutter f.o.m. den</w:t>
      </w:r>
    </w:p>
    <w:p w14:paraId="40EAE6A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dagen avtalen utgår, eller om forlaget kan innkassere for alle inntekter i avtaleperioden selv om de</w:t>
      </w:r>
    </w:p>
    <w:p w14:paraId="0E9E6377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avregnes senere.</w:t>
      </w:r>
    </w:p>
    <w:p w14:paraId="10BA1042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6D5A8FD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1.4</w:t>
      </w:r>
    </w:p>
    <w:p w14:paraId="464C189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”Hele Verden” omfatter absolutt alle geografiske områder Verket benyttes. I sin ytterste konsekvens</w:t>
      </w:r>
    </w:p>
    <w:p w14:paraId="7059618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betyr dette også verdensrommet – romstasjoner, månen og andre planeter – men: opphavsretten vil</w:t>
      </w:r>
    </w:p>
    <w:p w14:paraId="30005D9A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nok bli utfordret på andre områder lenge før dette er en aktuell problemstilling.</w:t>
      </w:r>
    </w:p>
    <w:p w14:paraId="4D0E6B33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1913AEB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1.5</w:t>
      </w:r>
    </w:p>
    <w:p w14:paraId="23219CA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Forlaget skal, så langt som mulig, forsøke å påvirke utgivere og andre brukere av Verket til å oppgi</w:t>
      </w:r>
    </w:p>
    <w:p w14:paraId="5B83C97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korrekt tittel, navnene på rettighetshaverne (kreditering) og dato for første utgivelse. Dette kravet kan</w:t>
      </w:r>
    </w:p>
    <w:p w14:paraId="69D5FFA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 og til komme i konflikt med design, plass til rådighet og tekniske begrensninger, slik at det ikke alltid</w:t>
      </w:r>
    </w:p>
    <w:p w14:paraId="51BC8BF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er mulig å etterkomme 100%. Kravet om å bli kreditert er en grunnleggende rettighet etter</w:t>
      </w:r>
    </w:p>
    <w:p w14:paraId="49518F31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åndsverkloven og det skal fremkomme på en eller annen måte ved offentliggjørelse av Verket.</w:t>
      </w:r>
    </w:p>
    <w:p w14:paraId="3D335859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58EF213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2</w:t>
      </w:r>
    </w:p>
    <w:p w14:paraId="68D93F3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2.1</w:t>
      </w:r>
    </w:p>
    <w:p w14:paraId="715A5EA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Det er de økonomiske rettighetene du overdrar til Musikkforlagets forvaltning. Les mer om de</w:t>
      </w:r>
    </w:p>
    <w:p w14:paraId="32EEA97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økonomiske og de ideelle rettighetene i definisjonsoversikten.</w:t>
      </w:r>
    </w:p>
    <w:p w14:paraId="08E881C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Forlaget kan ikke overdra en enkeltopphavsmenns katalog separat – verken helt eller delvis (for</w:t>
      </w:r>
    </w:p>
    <w:p w14:paraId="5AC70AE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eksempel enkeltverk) – med mindre annet er avtalt eller avtales mellom partene.</w:t>
      </w:r>
    </w:p>
    <w:p w14:paraId="20F928F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Musikkforlaget har i avtaletiden rett til å overdra rettigheter i Verket til andre, med eller uten rett for</w:t>
      </w:r>
    </w:p>
    <w:p w14:paraId="11A458CE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denne til overdra rettighetene videre.</w:t>
      </w:r>
    </w:p>
    <w:p w14:paraId="75D1197B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68EF939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2.2</w:t>
      </w:r>
    </w:p>
    <w:p w14:paraId="49FE60B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Hvis man ønsker å utelukke noen områder fra en ellers normal avtale kan man krysse av de aktuelle</w:t>
      </w:r>
    </w:p>
    <w:p w14:paraId="3ED0802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boksene. Les mer om begrep som ”grafisk form”, ”synkronisering, ”mekanisering” m.m. i</w:t>
      </w:r>
    </w:p>
    <w:p w14:paraId="5FD0484E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definisjonsoversikten.</w:t>
      </w:r>
    </w:p>
    <w:p w14:paraId="71CB8B00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5472BBC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3</w:t>
      </w:r>
    </w:p>
    <w:p w14:paraId="509A297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”Musikkforlag”/”Music Publisher” er en betegnelse fra den gang forlagenes oppgave hovedsakelig</w:t>
      </w:r>
    </w:p>
    <w:p w14:paraId="45359D3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besto av å utgi noter. Selv om begrepet ikke lenger er dekkende, brukes det fremdeles over hele</w:t>
      </w:r>
    </w:p>
    <w:p w14:paraId="34DCF86F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verden. Musikkforlaget er i dag opphavsmannens kreative og administrative samarbeidspartner.</w:t>
      </w:r>
    </w:p>
    <w:p w14:paraId="28A08101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1C338FA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3.1</w:t>
      </w:r>
    </w:p>
    <w:p w14:paraId="011B68B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Normalt vil Musikkforlaget, om ikke annet fremgår av punkt 2.2, medvirke til å gjøre Verket tilgjengelig</w:t>
      </w:r>
    </w:p>
    <w:p w14:paraId="138C126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 allmennheten</w:t>
      </w:r>
    </w:p>
    <w:p w14:paraId="7FAB244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• i grafisk form</w:t>
      </w:r>
    </w:p>
    <w:p w14:paraId="639ABC5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• gjennom offentlig fremføring/overføring til allmennheten</w:t>
      </w:r>
    </w:p>
    <w:p w14:paraId="423885C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• gjennom synkronisering</w:t>
      </w:r>
    </w:p>
    <w:p w14:paraId="0D70651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• gjennom annen mekanisering enn synkronisering (spesifisér eventuelt i punkt 3.2)</w:t>
      </w:r>
    </w:p>
    <w:p w14:paraId="2BE3796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• på annen måte som fremmer Verkets kunstneriske og økonomiske potensial (kan spesifiseres</w:t>
      </w:r>
    </w:p>
    <w:p w14:paraId="50B6226A" w14:textId="77777777" w:rsid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 punkt 3.2)</w:t>
      </w:r>
    </w:p>
    <w:p w14:paraId="3081BC89" w14:textId="77777777" w:rsidR="00CA1CCA" w:rsidRPr="00151957" w:rsidRDefault="00CA1CCA" w:rsidP="00151957">
      <w:pPr>
        <w:rPr>
          <w:rFonts w:ascii="Calibri" w:hAnsi="Calibri"/>
          <w:sz w:val="22"/>
          <w:szCs w:val="22"/>
        </w:rPr>
      </w:pPr>
    </w:p>
    <w:p w14:paraId="765311D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Opphavsmannen har ansvaret for å anmelde Verket. Musikkforlaget har verken plikt eller rett til å</w:t>
      </w:r>
    </w:p>
    <w:p w14:paraId="6BE0ADC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anmelde opphavsmannens andeler i et verk til TONO, dersom dette ikke er avtalt og det foreligger en</w:t>
      </w:r>
    </w:p>
    <w:p w14:paraId="2576FC7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fullmakt fra opphavsmannen ved at det er satt et kryss i boksen, eller fullmakt er gitt på annen måte.</w:t>
      </w:r>
    </w:p>
    <w:p w14:paraId="7C2A9DF2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46A495D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3.2</w:t>
      </w:r>
    </w:p>
    <w:p w14:paraId="33165D4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Dersom partene har avtalt spesielle vilkår, kan disse føres inn under dette punktet. Det kan for</w:t>
      </w:r>
    </w:p>
    <w:p w14:paraId="7C067C9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eksempel være plikt til fortsatt salg av noter etter avtalens utløp, en garantert innspilling eller</w:t>
      </w:r>
    </w:p>
    <w:p w14:paraId="1FE74F8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fremføring av Verket innen et bestemt tidspunkt m.m.</w:t>
      </w:r>
    </w:p>
    <w:p w14:paraId="09FA4660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07E1D1D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3.3</w:t>
      </w:r>
    </w:p>
    <w:p w14:paraId="7D3B237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Opphavsmannen må gi forlaget Verket i en form som kan reproduseres (note eller innspilling).</w:t>
      </w:r>
    </w:p>
    <w:p w14:paraId="60CCF66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Forlaget må ha saklig grunn for å avvise dokumentasjonen. Det bør avtales ved inngåelsen av</w:t>
      </w:r>
    </w:p>
    <w:p w14:paraId="3214D93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avtalen hvilke dokumentasjonskrav som gjelder.</w:t>
      </w:r>
    </w:p>
    <w:p w14:paraId="64DD844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Ved større orkesterverk kreves som regel et ferdig partitur. På en enkel melodi kan det være</w:t>
      </w:r>
    </w:p>
    <w:p w14:paraId="21291A5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tilstrekkelig med en demoinnspilling eller en besifret melodilinje med tekst.</w:t>
      </w:r>
    </w:p>
    <w:p w14:paraId="50EDE524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40E5824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3.3.2</w:t>
      </w:r>
    </w:p>
    <w:p w14:paraId="3FC3E0D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Originaleksemplaret av dokumentasjonen kan ha, eller kan vise seg å få, en selvstendig økonomisk</w:t>
      </w:r>
    </w:p>
    <w:p w14:paraId="58958C6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verdi, i tillegg til den ”sentimentale” betydning eksemplaret kan ha for Opphavsmannen.</w:t>
      </w:r>
    </w:p>
    <w:p w14:paraId="517C64D4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7C37D4E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4</w:t>
      </w:r>
    </w:p>
    <w:p w14:paraId="04F0B14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TONO avregner fremføringsvederlag. NCB (Nordisk Copyright Bureau) avregner mekanisk vederlag,</w:t>
      </w:r>
    </w:p>
    <w:p w14:paraId="20CE1D0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men selve utbetalingen skjer gjennom TONO. Øvrige inntekter innkasseres og avregnes som regel av</w:t>
      </w:r>
    </w:p>
    <w:p w14:paraId="1E3D6C4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forlaget direkte.</w:t>
      </w:r>
    </w:p>
    <w:p w14:paraId="2C34EF2F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356F3FC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Dersom partene ikke gjør konkret avtale om avvikende fordeling, gjelder TONOs fordelingsnøkkel.</w:t>
      </w:r>
    </w:p>
    <w:p w14:paraId="07EF5FD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Oppdaterte fordelingsregler er til enhver tid tilgjengelige på TONOs hjemmesider (www.tono.no).</w:t>
      </w:r>
    </w:p>
    <w:p w14:paraId="053B54D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Kolonnen ”Resten av verden”: Hver subforlagsavtale gjort på et verk vil kunne inneholde forskjellige</w:t>
      </w:r>
    </w:p>
    <w:p w14:paraId="5033021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vilkår. Blir det inngått flere subforlagsavtaler på Verket, kan fordelingen under disse føres opp i et</w:t>
      </w:r>
    </w:p>
    <w:p w14:paraId="4FE31BF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eget vedlegg til denne avtalen. Et subforlag er et musikkforlag som fra originalforlaget, i begrenset tid,</w:t>
      </w:r>
    </w:p>
    <w:p w14:paraId="71ED4DEA" w14:textId="115B777D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overlates forvaltning av et</w:t>
      </w:r>
      <w:r w:rsidR="00CA1CCA">
        <w:rPr>
          <w:rFonts w:ascii="Calibri" w:hAnsi="Calibri"/>
          <w:sz w:val="22"/>
          <w:szCs w:val="22"/>
        </w:rPr>
        <w:t xml:space="preserve"> verk i et bestemt territorium. </w:t>
      </w:r>
      <w:r w:rsidRPr="00151957">
        <w:rPr>
          <w:rFonts w:ascii="Calibri" w:hAnsi="Calibri"/>
          <w:sz w:val="22"/>
          <w:szCs w:val="22"/>
        </w:rPr>
        <w:t>Betegnelsen ”Opphavsmannen” dekker her også de tilfeller hvor det er flere opphavsmenn, se</w:t>
      </w:r>
    </w:p>
    <w:p w14:paraId="37D310B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definisjonen nedenfor.</w:t>
      </w:r>
    </w:p>
    <w:p w14:paraId="05C8B392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3735A03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5</w:t>
      </w:r>
    </w:p>
    <w:p w14:paraId="1F4F2B8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Med synkronisering menes sammenstilling av musikk og bilde, for eksempel en AV-/audiovisuell</w:t>
      </w:r>
    </w:p>
    <w:p w14:paraId="3B44B41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produksjon. Se forøvrig definisjonsoversikten.</w:t>
      </w:r>
    </w:p>
    <w:p w14:paraId="55BD304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Hvis denne avtalen i utstrakt grad er inngått med tanke på synkronisering, anbefaler vi å bruke</w:t>
      </w:r>
    </w:p>
    <w:p w14:paraId="55F27C9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vedlegget som er utarbeidet til denne avtalen.</w:t>
      </w:r>
    </w:p>
    <w:p w14:paraId="7D03AF34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52A2BAC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6</w:t>
      </w:r>
    </w:p>
    <w:p w14:paraId="47E3F27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Med grafiske utgivelser menes alle former for trykt tekst og noter. Se forøvrig definisjonsoversikten.</w:t>
      </w:r>
    </w:p>
    <w:p w14:paraId="116551F5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0ED932A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6.1</w:t>
      </w:r>
    </w:p>
    <w:p w14:paraId="3D78AA0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Hvis denne avtalen er inngått hovedsakelig med tanke på å utgi noter, anbefaler vi å bruke vedlegget</w:t>
      </w:r>
    </w:p>
    <w:p w14:paraId="591E957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som er utarbeidet til denne avtalen.</w:t>
      </w:r>
    </w:p>
    <w:p w14:paraId="055903C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Royalty kan avtales beregnet av brutto eller av netto utsalgspris.</w:t>
      </w:r>
    </w:p>
    <w:p w14:paraId="42F27AF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Brutto: Royalty beregnes av utsalgspris fratrukket merverdiavgift.</w:t>
      </w:r>
    </w:p>
    <w:p w14:paraId="6B649D9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Netto: Royalty beregnes av utsalgspris fratrukket rabatter samt merverdiavgift (tilsvarer</w:t>
      </w:r>
    </w:p>
    <w:p w14:paraId="0DFD87D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noenlunde grammofonbransjens såkalte PPD – ”Published Price to Dealer”)</w:t>
      </w:r>
    </w:p>
    <w:p w14:paraId="7705E56A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5251E82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6.2</w:t>
      </w:r>
    </w:p>
    <w:p w14:paraId="2B43E2D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Praksis vedrørende royalty på digitaldistribusjonsområdet er i rask utvikling, og Musikkforlaget</w:t>
      </w:r>
    </w:p>
    <w:p w14:paraId="6662B85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forplikter seg til å holde seg oppdatert.</w:t>
      </w:r>
    </w:p>
    <w:p w14:paraId="7447823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Versjon 1.0. Sist oppdatert 28.04.10. 5</w:t>
      </w:r>
    </w:p>
    <w:p w14:paraId="383F034D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765BDEF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6.3</w:t>
      </w:r>
    </w:p>
    <w:p w14:paraId="3D86436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Utleie av noter er som regel kun aktuelt ved større orkesterverk, musikkdramatikk og lignende.</w:t>
      </w:r>
    </w:p>
    <w:p w14:paraId="646E7B1C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62D3FEB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7</w:t>
      </w:r>
    </w:p>
    <w:p w14:paraId="79DF6C7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Ofte kalt en ”catch all”-klausul. Den fanger opp alle situasjoner som avtalen ellers ikke regulerer.</w:t>
      </w:r>
    </w:p>
    <w:p w14:paraId="0B514E6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Rettigheter som nærmest kan sammenlignes med fremførings- eller mekaniske rettigheter skal</w:t>
      </w:r>
    </w:p>
    <w:p w14:paraId="493A77C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fordeles etter samme prinsipp som gjelder for slike.</w:t>
      </w:r>
    </w:p>
    <w:p w14:paraId="6312C2E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Inntekter fra øvrige rettigheter fordeles likt mellom partene.</w:t>
      </w:r>
    </w:p>
    <w:p w14:paraId="7D75CEB7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61CBB9B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8</w:t>
      </w:r>
    </w:p>
    <w:p w14:paraId="5FA051E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Er Verket forlagt, er det forlaget som håndterer all lisensiering av Verket. Får du som opphavsmann</w:t>
      </w:r>
    </w:p>
    <w:p w14:paraId="247231F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henvendelser direkte, skal de henvises til forlaget. Det må ikke tolkes som om du ikke har</w:t>
      </w:r>
    </w:p>
    <w:p w14:paraId="4BF42CB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medbestemmelse, men forlaget vil til enhver tid ha oversikt over aktiviteten omkring Verket og kan</w:t>
      </w:r>
    </w:p>
    <w:p w14:paraId="7164741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forhindre at avtaler du gjør kommer i konflikt med andre avtaler.</w:t>
      </w:r>
    </w:p>
    <w:p w14:paraId="35C5BF9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Forlaget skal avregne ”at source” – dvs. uten avkortinger for andre utgifter eller fra tredjemann.</w:t>
      </w:r>
    </w:p>
    <w:p w14:paraId="7E53D0C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Det er kun Musikkforlagets avregninger og utbetalinger, som omtales i dette kapitlet, ikke</w:t>
      </w:r>
    </w:p>
    <w:p w14:paraId="707E5D9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avregningene fra TONO/NCB.</w:t>
      </w:r>
    </w:p>
    <w:p w14:paraId="2B8831C0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3AD8E29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8.1</w:t>
      </w:r>
    </w:p>
    <w:p w14:paraId="2D797D0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Såfremt det ikke er utbetalt forskudd, vil vederlag for fremføring og lydfesting utbetales direkte</w:t>
      </w:r>
    </w:p>
    <w:p w14:paraId="28BDEB3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gjennom TONO. TONOs hovedavregninger er, ved utforming av denne veiledningen, henholdsvis i</w:t>
      </w:r>
    </w:p>
    <w:p w14:paraId="18F5012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juni og i november. Tendensen er at avregninger skjer med stadig større hyppighet.</w:t>
      </w:r>
    </w:p>
    <w:p w14:paraId="0A3B330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Øvrige vederlag betales normalt av forlaget, som da skal sende ut avregningsbilag for disse.</w:t>
      </w:r>
    </w:p>
    <w:p w14:paraId="22E9628D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1C20796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8.2</w:t>
      </w:r>
    </w:p>
    <w:p w14:paraId="24DEBF5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Små utbetalingsbeløp er tids- og kostnadskrevende for forlagene. Praksis for dette varierer noe, men</w:t>
      </w:r>
    </w:p>
    <w:p w14:paraId="105FFCD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grensen ligger normalt på omkring kr 500,-.</w:t>
      </w:r>
    </w:p>
    <w:p w14:paraId="6E767FDB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4D72DA4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8.3</w:t>
      </w:r>
    </w:p>
    <w:p w14:paraId="4A2DD04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Du kan etterkontrollere avregningene du mottar fra forlaget, men må betale kostnadene til det selv,</w:t>
      </w:r>
    </w:p>
    <w:p w14:paraId="5A9B395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såfremt det ikke avdekkes en feilmargin på over 10% i forlagets favør.</w:t>
      </w:r>
    </w:p>
    <w:p w14:paraId="5313DD15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0FF45FE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9</w:t>
      </w:r>
    </w:p>
    <w:p w14:paraId="2D1006D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9.1</w:t>
      </w:r>
    </w:p>
    <w:p w14:paraId="5AE2815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Ved heving går rettighetene i Verket tilbake til Opphavsmannen, og Musikkforlagets rett til å</w:t>
      </w:r>
    </w:p>
    <w:p w14:paraId="3E88419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innkassere vederlag for Verket opphører. Dersom Musikkforlaget har innkassert eller mottatt vederlag</w:t>
      </w:r>
    </w:p>
    <w:p w14:paraId="0C49220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etter at avtalen er gyldig hevet, skal dette vederlaget utbetales Opphavsmannen uten avkortning.</w:t>
      </w:r>
    </w:p>
    <w:p w14:paraId="6CAB877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Uttrykket ”vesentlig mislighold” er en såkalt ”rettslig standard”. Det vil si at lovgiver ikke har tatt</w:t>
      </w:r>
    </w:p>
    <w:p w14:paraId="0B79A68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nærmere stilling til hvilke situasjoner uttrykket konkret skal omfatte, men i stedet overlatt den nærmere</w:t>
      </w:r>
    </w:p>
    <w:p w14:paraId="54F6FE2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tolkningen av uttrykket til domstolenes skjønn. En rettslig standard kan derfor også utvikle seg over</w:t>
      </w:r>
    </w:p>
    <w:p w14:paraId="22803DD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tid, i takt med de rådende moral- og rettsoppfatninger i samfunnet. Vesentlig mislighold forutsetter</w:t>
      </w:r>
    </w:p>
    <w:p w14:paraId="2CD017C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normalt at den ene part vedvarende eller gjentatte ganger har begått avtalebrudd av en viss</w:t>
      </w:r>
    </w:p>
    <w:p w14:paraId="462CDE2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betydning, eventuelt flere eller mange forskjellige avtalebrudd. Det er imidlertid bare domstolene som</w:t>
      </w:r>
    </w:p>
    <w:p w14:paraId="42531BC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kan avgjøre hvorvidt et mislighold er vesentlig, dersom partene ikke kommer frem til en løsning.</w:t>
      </w:r>
    </w:p>
    <w:p w14:paraId="3C155774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095CFE6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9.2</w:t>
      </w:r>
    </w:p>
    <w:p w14:paraId="4F97905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Force majeure (fransk for «større krefter») er en vanlig klausul i avtaler som i utgangspunktet løser en</w:t>
      </w:r>
    </w:p>
    <w:p w14:paraId="0489A09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eller begge parter fra ansvar for mislighold når en ekstraordinær hendelse, ulykke eller lignende</w:t>
      </w:r>
    </w:p>
    <w:p w14:paraId="2EE391A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inntreffer.</w:t>
      </w:r>
    </w:p>
    <w:p w14:paraId="4995C53A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2156C44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9.3</w:t>
      </w:r>
    </w:p>
    <w:p w14:paraId="18B3ED7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Bestemmelsen dekker i praksis perioden fra forlaget blir insolvent (ikke lenger er i stand til å dekke</w:t>
      </w:r>
    </w:p>
    <w:p w14:paraId="49A9F81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sine løpende forpliktelser) inntil a) Opphavsmannen hever avtalen, jf. punkt 8.1, b) Forlaget går</w:t>
      </w:r>
    </w:p>
    <w:p w14:paraId="189FB95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konkurs eller c) Forlaget igjen blir solvent/betalingsdyktig.</w:t>
      </w:r>
    </w:p>
    <w:p w14:paraId="429510E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Skulle konkurs inntreffe, gjelder norsk lov.</w:t>
      </w:r>
    </w:p>
    <w:p w14:paraId="19C8DB67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6BB705E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9.4</w:t>
      </w:r>
    </w:p>
    <w:p w14:paraId="676B26E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Samme vilkår som gjelder i avtalens løpetid gjelder også for avregninger etter avtalens utløp.</w:t>
      </w:r>
    </w:p>
    <w:p w14:paraId="11BC0E80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14C0ECB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9.5</w:t>
      </w:r>
    </w:p>
    <w:p w14:paraId="4845550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Ved uenighet mellom partene er det norsk lov som gjelder. Det kan være viktig hvis en utenlandsk</w:t>
      </w:r>
    </w:p>
    <w:p w14:paraId="26DB209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rettighetshaver eller forlag er involvert.</w:t>
      </w:r>
    </w:p>
    <w:p w14:paraId="76850276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3F7E2C2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10</w:t>
      </w:r>
    </w:p>
    <w:p w14:paraId="6670B23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Innbefatter avtalen annet som ikke er omtalt, kan det føres inn her.</w:t>
      </w:r>
    </w:p>
    <w:p w14:paraId="67BC7162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0C714D2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11</w:t>
      </w:r>
    </w:p>
    <w:p w14:paraId="71A9D05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Noen ganger utbetales det et forskudd til opphavsmannen. Det er laget et eget vedlegg til denne</w:t>
      </w:r>
    </w:p>
    <w:p w14:paraId="1AA9BCF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avtalen som omfatter detaljene i forbindelse med dette.</w:t>
      </w:r>
    </w:p>
    <w:p w14:paraId="4B6AF33D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4356BB01" w14:textId="7150FF9C" w:rsidR="00CA1CCA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12</w:t>
      </w:r>
    </w:p>
    <w:p w14:paraId="1131279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Denne avtalen erstatter alle tidligere avtaler du har gjort for Verket. Du kan ikke gjøre avtale med flere</w:t>
      </w:r>
    </w:p>
    <w:p w14:paraId="25C9AF3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musikkforlag for de samme eksklusive rettighetene.</w:t>
      </w:r>
    </w:p>
    <w:p w14:paraId="4554A50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Det er viktig at alle undertegner samtlige kopier av avtalen med vedlegg.</w:t>
      </w:r>
    </w:p>
    <w:p w14:paraId="5B4AFC2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Ta godt vare på ditt eksemplar og sørg for anmelde Verket ditt til TONO hvis du ikke har gitt forlaget</w:t>
      </w:r>
    </w:p>
    <w:p w14:paraId="66B7D6A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fullmakt til å gjøre dette for deg.</w:t>
      </w:r>
    </w:p>
    <w:p w14:paraId="610256D5" w14:textId="77777777" w:rsidR="00CA1CCA" w:rsidRDefault="00CA1CCA" w:rsidP="00151957">
      <w:pPr>
        <w:rPr>
          <w:rFonts w:ascii="Calibri" w:hAnsi="Calibri"/>
          <w:sz w:val="22"/>
          <w:szCs w:val="22"/>
        </w:rPr>
      </w:pPr>
    </w:p>
    <w:p w14:paraId="4A764F3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151957">
        <w:rPr>
          <w:rFonts w:ascii="Calibri" w:hAnsi="Calibri"/>
          <w:sz w:val="22"/>
          <w:szCs w:val="22"/>
        </w:rPr>
        <w:t>Definisjoner av ord og uttrykk brukt i avtalen</w:t>
      </w:r>
    </w:p>
    <w:p w14:paraId="37C9FA0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Ved tolkningen av avtalen gjelder følgende definisjoner:</w:t>
      </w:r>
    </w:p>
    <w:p w14:paraId="5A899A7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Copyright control: Se Manus.</w:t>
      </w:r>
    </w:p>
    <w:p w14:paraId="6BF86CD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Domaine publique:</w:t>
      </w:r>
    </w:p>
    <w:p w14:paraId="3475A17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”Allmenn eiendom”. Verk som er falt i det fri krever ikke lenger vederlag.</w:t>
      </w:r>
    </w:p>
    <w:p w14:paraId="1FBF64C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Droit moral: Se Ideelle rettigheter</w:t>
      </w:r>
    </w:p>
    <w:p w14:paraId="0C89583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Fellesverk:</w:t>
      </w:r>
    </w:p>
    <w:p w14:paraId="0C0A2BD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Verk skapt i intimt samarbeid mellom flere opphavsmenn. Vederlag fordeles i henhold til avtalen selv</w:t>
      </w:r>
    </w:p>
    <w:p w14:paraId="7D40CC9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om for eksempel bare tekst eller melodi fremføres/utgis. Det motsatte av intimt samarbeid er hvis en</w:t>
      </w:r>
    </w:p>
    <w:p w14:paraId="39F5B5D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komponist bruker en eksisterende tekst eller en tekstforfatter skriver tekst på en eksisterende melodi</w:t>
      </w:r>
    </w:p>
    <w:p w14:paraId="224EC69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(”sammensatt verk”). Da må det innhentes tillatelse fra de andre rettighetshaverne og den nye</w:t>
      </w:r>
    </w:p>
    <w:p w14:paraId="43263B0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melodien/teksten vil betraktes som non-eksklusiv. I så fall bør det lages en egen avtale</w:t>
      </w:r>
    </w:p>
    <w:p w14:paraId="2CB2FB5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Forlagskatalog:</w:t>
      </w:r>
    </w:p>
    <w:p w14:paraId="69603DB9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Forlag vil ofte plassere verk i forskjellige underkataloger. Dette kan sammenlignes med at et</w:t>
      </w:r>
    </w:p>
    <w:p w14:paraId="2C2CC03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plateselskap utgir ulikt repertoar på ulike labels eller den praksis bokforlagene har. Som oftest er dette</w:t>
      </w:r>
    </w:p>
    <w:p w14:paraId="4BD7E2C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 markedsføringmessige eller administrative grunner og har liten betydning for samarbeidet mellom</w:t>
      </w:r>
    </w:p>
    <w:p w14:paraId="3424382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forlag og opphavsmann.</w:t>
      </w:r>
    </w:p>
    <w:p w14:paraId="6C8BD33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Fremføringsrettigheter:</w:t>
      </w:r>
    </w:p>
    <w:p w14:paraId="4B31C52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Rettigheter forbundet med avspilling eller fremføring av et verk. ( Kringkasting. Konsert,</w:t>
      </w:r>
    </w:p>
    <w:p w14:paraId="4F657EF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Gudstjeneste/Musikkandakt. Underholdning, Revy. Film. Andre fremføringsområder. )</w:t>
      </w:r>
    </w:p>
    <w:p w14:paraId="03C40DF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Generalavtale:</w:t>
      </w:r>
    </w:p>
    <w:p w14:paraId="13578BF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Avtale mellom opphavsmann og musikkforlag om opphavsmannens prestasjon og Musikkforlagets</w:t>
      </w:r>
    </w:p>
    <w:p w14:paraId="20A1BCD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plikter mht. de verk som opphavsmannen skaper mens generalavtalen gjelder. Generalavtalen er ikke</w:t>
      </w:r>
    </w:p>
    <w:p w14:paraId="77D6D88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begrenset til ett eller flere spesifikke verk.</w:t>
      </w:r>
    </w:p>
    <w:p w14:paraId="083D8B0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Gjøre tilgjengelig for allmennheten:</w:t>
      </w:r>
    </w:p>
    <w:p w14:paraId="3C0AAF2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Avspilling eller fremføring av et verk. (Kringkasting, Konsert, Gudstjeneste/Musikkandakt.</w:t>
      </w:r>
    </w:p>
    <w:p w14:paraId="00EE6CC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Underholdning, Revy. Film. Andre fremføringsområder.)</w:t>
      </w:r>
    </w:p>
    <w:p w14:paraId="55D08ABA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Grafisk form:</w:t>
      </w:r>
    </w:p>
    <w:p w14:paraId="3C66D96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Noter eller tekst – Visuell fremstilling av verket i sin helhet, i arrangement, eller deler av verket som</w:t>
      </w:r>
    </w:p>
    <w:p w14:paraId="50AE8BC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tekst, musikk eller besifring alene.</w:t>
      </w:r>
    </w:p>
    <w:p w14:paraId="5334F87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Grand Rights: Se ”store rettigheter”.</w:t>
      </w:r>
    </w:p>
    <w:p w14:paraId="322D607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Ideelle rettigheter:</w:t>
      </w:r>
    </w:p>
    <w:p w14:paraId="11D9E67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Et sett med rettigheter som opphavsmannen alltid beholder:</w:t>
      </w:r>
    </w:p>
    <w:p w14:paraId="6F6BDA3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Retten til kreditering (opphavsmannens rett til å bli navngitt i samsvar med god skikk)</w:t>
      </w:r>
    </w:p>
    <w:p w14:paraId="179E7E0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Retten til å utgi anonymt eller under psevdonym</w:t>
      </w:r>
    </w:p>
    <w:p w14:paraId="36552EC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Respektretten (verket kan ikke gjengis på en måte som er krenkende for opphavsmannen</w:t>
      </w:r>
    </w:p>
    <w:p w14:paraId="7CF1560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eller for verket).</w:t>
      </w:r>
    </w:p>
    <w:p w14:paraId="517DFF1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I tillegg har opphavsmannen Økonomiske rettigheter.</w:t>
      </w:r>
    </w:p>
    <w:p w14:paraId="69AF15C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Katalog: Se ”forlagskatalog”.</w:t>
      </w:r>
    </w:p>
    <w:p w14:paraId="7CE25A2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Kreditering:</w:t>
      </w:r>
    </w:p>
    <w:p w14:paraId="12A8E66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Opphavsmannens rett til å bli navngitt i forbindelse med utnyttelse av sitt verk (se Ideelle rettigheter).</w:t>
      </w:r>
    </w:p>
    <w:p w14:paraId="749CCB3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Life of copyright:</w:t>
      </w:r>
    </w:p>
    <w:p w14:paraId="3E2D2B9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Perioden et verk er opphavsrettslig beskyttet, dvs. 70 år etter opphavsmannens død.</w:t>
      </w:r>
    </w:p>
    <w:p w14:paraId="65ED15D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Versjon 1.0. Sist oppdatert 28.04.10. 8</w:t>
      </w:r>
    </w:p>
    <w:p w14:paraId="536BD3D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Lisensiering:</w:t>
      </w:r>
    </w:p>
    <w:p w14:paraId="6AAAA6C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En non-eksklusiv rettighet gitt til tredjemann for en begrenset utnyttelse av Verket.</w:t>
      </w:r>
    </w:p>
    <w:p w14:paraId="2FCE4CE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Lydfestingsrettigheter: Se ”mekaniske rettigheter”</w:t>
      </w:r>
    </w:p>
    <w:p w14:paraId="1868535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Manus:</w:t>
      </w:r>
    </w:p>
    <w:p w14:paraId="7552174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Betegnelse på verk som ikke er forlagt, alle rettigheter forvaltes av opphavsmannen. Ofte brukes</w:t>
      </w:r>
    </w:p>
    <w:p w14:paraId="695312F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betegnelsen ”Copyright control”.</w:t>
      </w:r>
    </w:p>
    <w:p w14:paraId="330BA5C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Mekaniske rettigheter:</w:t>
      </w:r>
    </w:p>
    <w:p w14:paraId="60E2F25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Retten til å lydfeste verket på CD, MC, audio-DVD og vinyl, film (synkronisering), CD-ROM, video,</w:t>
      </w:r>
    </w:p>
    <w:p w14:paraId="7D78F9C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DVD, bladomdelte produkter, premium-produkter, karaoke, bestillingsmusikk (Library Music),</w:t>
      </w:r>
    </w:p>
    <w:p w14:paraId="251259C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ringetoner, leketøy, spilledåser, gratulasjonskort, reklame og Internett. De mekaniske rettighetene</w:t>
      </w:r>
    </w:p>
    <w:p w14:paraId="4C09DF4F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forvaltes i Norden av Nordisk Copyright Bureau ( NCB ) på oppdrag fra, og i nært samarbeid med,</w:t>
      </w:r>
    </w:p>
    <w:p w14:paraId="31C8BB42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TONO og de andre nordiske forvaltningsselskapene.</w:t>
      </w:r>
    </w:p>
    <w:p w14:paraId="7CC4997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På de fleste områder foreligger det fremforhandlede satser, mens det for eksempel på reklamebruk og</w:t>
      </w:r>
    </w:p>
    <w:p w14:paraId="1D4100F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synkronisering i stor grad overlates til rettighetshaver å bestemme størrelsen av vederlaget.</w:t>
      </w:r>
    </w:p>
    <w:p w14:paraId="61CED22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Moralske rettigheter/Moral rights: Se Ideelle rettigheter.</w:t>
      </w:r>
    </w:p>
    <w:p w14:paraId="56620F5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NCB</w:t>
      </w:r>
    </w:p>
    <w:p w14:paraId="0AF46F2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Nordisk Copyright Bureau (NCB) forvalter de nordiske rettighetshaveres mekaniske rettigheter, også</w:t>
      </w:r>
    </w:p>
    <w:p w14:paraId="5E5800A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kalt lydfestingsrettigheter. I likhet med TONO, har NCB gjensidighetsavtaler med søsterselskaper i</w:t>
      </w:r>
    </w:p>
    <w:p w14:paraId="711D10C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andre land og forvalter utenlandske rettighetshaveres mekaniske rettigheter i det nordiske området.</w:t>
      </w:r>
    </w:p>
    <w:p w14:paraId="031A936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NCB er eid og styrt av de nordiske fremføringsselskapene (TONO-selskapene) i fellesskap.</w:t>
      </w:r>
    </w:p>
    <w:p w14:paraId="2D95342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Offentlig fremføring:</w:t>
      </w:r>
    </w:p>
    <w:p w14:paraId="4FFF7BD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Avspilling eller fremføring av et verk. ( Kringkasting. Konsert, Gudstjeneste/Musikkandakt.</w:t>
      </w:r>
    </w:p>
    <w:p w14:paraId="173DC6C3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Underholdning, Revy. Film. Andre fremføringsområder. )</w:t>
      </w:r>
    </w:p>
    <w:p w14:paraId="37FEE56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Opphavsmann:</w:t>
      </w:r>
    </w:p>
    <w:p w14:paraId="48B393F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Komponist eller tekstforfatter. I avtaler brukes ofte Opphavsmann som felles betegnelse for alle som</w:t>
      </w:r>
    </w:p>
    <w:p w14:paraId="2C3FFB4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har medvirket kreativt på verket. Betegnelsen er kjønnsnøytral, og brukes i loven.</w:t>
      </w:r>
    </w:p>
    <w:p w14:paraId="2D98253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Print: Se ”Grafisk Form”.</w:t>
      </w:r>
    </w:p>
    <w:p w14:paraId="40D7A47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Store rettigheter:</w:t>
      </w:r>
    </w:p>
    <w:p w14:paraId="2BCC3C2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Uttrykket «store rettigheter» brukes i forbindelse med dramatisk fremføring av et verk. (f.eks. opera,</w:t>
      </w:r>
    </w:p>
    <w:p w14:paraId="552C410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operette, teater, musikal, skuespill, pantomime, ballett o.l.).</w:t>
      </w:r>
    </w:p>
    <w:p w14:paraId="1DC70DAC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Subforlag/subforlegging:</w:t>
      </w:r>
    </w:p>
    <w:p w14:paraId="7864437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Musikkforlag som fra originalforlaget i en begrenset periode overlates forvaltningen av et verk i et</w:t>
      </w:r>
    </w:p>
    <w:p w14:paraId="397C3C9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bestemt territorium.</w:t>
      </w:r>
    </w:p>
    <w:p w14:paraId="6E2D2E1E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Synkronisering:</w:t>
      </w:r>
    </w:p>
    <w:p w14:paraId="564F16C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Film, reklame m.m., mekanisering av et verk ved innkopiering til bilde eller annen lyd.</w:t>
      </w:r>
    </w:p>
    <w:p w14:paraId="3328CCA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TONO:</w:t>
      </w:r>
    </w:p>
    <w:p w14:paraId="3F3FAA50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Det norske forvaltningsselskapet TONO, eller ethvert tilsvarende selskap. TONO er et andelsselskap,</w:t>
      </w:r>
    </w:p>
    <w:p w14:paraId="087586C6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stiftet i 1928, som eies og drives av sine medlemmer; komponister, tekstforfattere og musikkforlag.</w:t>
      </w:r>
    </w:p>
    <w:p w14:paraId="1FC006E4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Selskapet forvalter fremføringsrettigheter for musikkverk i Norge. Sammen med de øvrige</w:t>
      </w:r>
    </w:p>
    <w:p w14:paraId="24D50BB5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forvaltningsselskapene i Norden, eier de Nordisk Copyright Bureau, som forvalter de mekaniske</w:t>
      </w:r>
    </w:p>
    <w:p w14:paraId="1C2EDF0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rettighetene på deres felles vegne.</w:t>
      </w:r>
    </w:p>
    <w:p w14:paraId="4D2F7CF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Trad.: Se Domaine publique.</w:t>
      </w:r>
    </w:p>
    <w:p w14:paraId="31DAE78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Versjon 1.0. Sist oppdatert 28.04.10. 9</w:t>
      </w:r>
    </w:p>
    <w:p w14:paraId="35F0016D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Verket:</w:t>
      </w:r>
    </w:p>
    <w:p w14:paraId="537389F7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Komposisjon med eller uten tekst.</w:t>
      </w:r>
    </w:p>
    <w:p w14:paraId="12809AA1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Økonomiske rettigheter:</w:t>
      </w:r>
    </w:p>
    <w:p w14:paraId="6AB8DA6B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Opphavsretten består av Økonomiske rettigheter og Ideelle rettigheter. De økonomiske rettigheter er</w:t>
      </w:r>
    </w:p>
    <w:p w14:paraId="50A02318" w14:textId="77777777" w:rsidR="00151957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enerett til eksemplarfremstilling</w:t>
      </w:r>
    </w:p>
    <w:p w14:paraId="035CFDF7" w14:textId="2A6F42F6" w:rsidR="00664409" w:rsidRPr="00151957" w:rsidRDefault="00151957" w:rsidP="00151957">
      <w:pPr>
        <w:rPr>
          <w:rFonts w:ascii="Calibri" w:hAnsi="Calibri"/>
          <w:sz w:val="22"/>
          <w:szCs w:val="22"/>
        </w:rPr>
      </w:pPr>
      <w:r w:rsidRPr="00151957">
        <w:rPr>
          <w:rFonts w:ascii="Calibri" w:hAnsi="Calibri"/>
          <w:sz w:val="22"/>
          <w:szCs w:val="22"/>
        </w:rPr>
        <w:t>– enerett til å gjøre verket tilgjengelig for allmennheten.</w:t>
      </w:r>
    </w:p>
    <w:sectPr w:rsidR="00664409" w:rsidRPr="00151957" w:rsidSect="006C22F7">
      <w:headerReference w:type="default" r:id="rId9"/>
      <w:footerReference w:type="even" r:id="rId10"/>
      <w:footerReference w:type="default" r:id="rId11"/>
      <w:pgSz w:w="11900" w:h="16840"/>
      <w:pgMar w:top="709" w:right="1063" w:bottom="709" w:left="10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3ADFC" w14:textId="77777777" w:rsidR="00151957" w:rsidRDefault="00151957" w:rsidP="00734AAF">
      <w:r>
        <w:separator/>
      </w:r>
    </w:p>
  </w:endnote>
  <w:endnote w:type="continuationSeparator" w:id="0">
    <w:p w14:paraId="35AEB75B" w14:textId="77777777" w:rsidR="00151957" w:rsidRDefault="00151957" w:rsidP="007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0A20" w14:textId="77777777" w:rsidR="00151957" w:rsidRDefault="00151957" w:rsidP="007A189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CC328F9" w14:textId="77777777" w:rsidR="00151957" w:rsidRDefault="00151957" w:rsidP="00EC6BF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12ACE" w14:textId="77777777" w:rsidR="00151957" w:rsidRDefault="00151957" w:rsidP="007A189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A1CCA">
      <w:rPr>
        <w:rStyle w:val="Sidetall"/>
        <w:noProof/>
      </w:rPr>
      <w:t>1</w:t>
    </w:r>
    <w:r>
      <w:rPr>
        <w:rStyle w:val="Sidetall"/>
      </w:rPr>
      <w:fldChar w:fldCharType="end"/>
    </w:r>
  </w:p>
  <w:p w14:paraId="62941666" w14:textId="77777777" w:rsidR="00151957" w:rsidRDefault="00151957" w:rsidP="00EC6BF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83125" w14:textId="77777777" w:rsidR="00151957" w:rsidRDefault="00151957" w:rsidP="00734AAF">
      <w:r>
        <w:separator/>
      </w:r>
    </w:p>
  </w:footnote>
  <w:footnote w:type="continuationSeparator" w:id="0">
    <w:p w14:paraId="7C74688B" w14:textId="77777777" w:rsidR="00151957" w:rsidRDefault="00151957" w:rsidP="00734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4496" w14:textId="5FB4ABFC" w:rsidR="00151957" w:rsidRPr="001F429F" w:rsidRDefault="00151957" w:rsidP="00151957">
    <w:pPr>
      <w:pStyle w:val="Topptekst"/>
      <w:jc w:val="center"/>
      <w:rPr>
        <w:i/>
        <w:sz w:val="16"/>
        <w:szCs w:val="16"/>
      </w:rPr>
    </w:pPr>
    <w:r>
      <w:rPr>
        <w:i/>
        <w:sz w:val="16"/>
        <w:szCs w:val="16"/>
      </w:rPr>
      <w:t>Veiledning til musikkforlagsavtale</w:t>
    </w:r>
  </w:p>
  <w:p w14:paraId="0CCFD7A1" w14:textId="36188AB3" w:rsidR="00151957" w:rsidRDefault="00151957">
    <w:pPr>
      <w:pStyle w:val="Topptekst"/>
    </w:pPr>
  </w:p>
  <w:p w14:paraId="1C8FF2DD" w14:textId="77777777" w:rsidR="00151957" w:rsidRDefault="00151957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63A"/>
    <w:multiLevelType w:val="hybridMultilevel"/>
    <w:tmpl w:val="A57E5E3C"/>
    <w:lvl w:ilvl="0" w:tplc="04090015">
      <w:start w:val="1"/>
      <w:numFmt w:val="upperLetter"/>
      <w:lvlText w:val="%1."/>
      <w:lvlJc w:val="left"/>
      <w:pPr>
        <w:ind w:left="46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76" w:hanging="360"/>
      </w:pPr>
    </w:lvl>
    <w:lvl w:ilvl="2" w:tplc="0409001B" w:tentative="1">
      <w:start w:val="1"/>
      <w:numFmt w:val="lowerRoman"/>
      <w:lvlText w:val="%3."/>
      <w:lvlJc w:val="right"/>
      <w:pPr>
        <w:ind w:left="6096" w:hanging="180"/>
      </w:pPr>
    </w:lvl>
    <w:lvl w:ilvl="3" w:tplc="0409000F" w:tentative="1">
      <w:start w:val="1"/>
      <w:numFmt w:val="decimal"/>
      <w:lvlText w:val="%4."/>
      <w:lvlJc w:val="left"/>
      <w:pPr>
        <w:ind w:left="6816" w:hanging="360"/>
      </w:pPr>
    </w:lvl>
    <w:lvl w:ilvl="4" w:tplc="04090019" w:tentative="1">
      <w:start w:val="1"/>
      <w:numFmt w:val="lowerLetter"/>
      <w:lvlText w:val="%5."/>
      <w:lvlJc w:val="left"/>
      <w:pPr>
        <w:ind w:left="7536" w:hanging="360"/>
      </w:pPr>
    </w:lvl>
    <w:lvl w:ilvl="5" w:tplc="0409001B" w:tentative="1">
      <w:start w:val="1"/>
      <w:numFmt w:val="lowerRoman"/>
      <w:lvlText w:val="%6."/>
      <w:lvlJc w:val="right"/>
      <w:pPr>
        <w:ind w:left="8256" w:hanging="180"/>
      </w:pPr>
    </w:lvl>
    <w:lvl w:ilvl="6" w:tplc="0409000F" w:tentative="1">
      <w:start w:val="1"/>
      <w:numFmt w:val="decimal"/>
      <w:lvlText w:val="%7."/>
      <w:lvlJc w:val="left"/>
      <w:pPr>
        <w:ind w:left="8976" w:hanging="360"/>
      </w:pPr>
    </w:lvl>
    <w:lvl w:ilvl="7" w:tplc="04090019" w:tentative="1">
      <w:start w:val="1"/>
      <w:numFmt w:val="lowerLetter"/>
      <w:lvlText w:val="%8."/>
      <w:lvlJc w:val="left"/>
      <w:pPr>
        <w:ind w:left="9696" w:hanging="360"/>
      </w:pPr>
    </w:lvl>
    <w:lvl w:ilvl="8" w:tplc="0409001B" w:tentative="1">
      <w:start w:val="1"/>
      <w:numFmt w:val="lowerRoman"/>
      <w:lvlText w:val="%9."/>
      <w:lvlJc w:val="right"/>
      <w:pPr>
        <w:ind w:left="10416" w:hanging="180"/>
      </w:pPr>
    </w:lvl>
  </w:abstractNum>
  <w:abstractNum w:abstractNumId="1">
    <w:nsid w:val="2B3C681E"/>
    <w:multiLevelType w:val="hybridMultilevel"/>
    <w:tmpl w:val="CC961DF0"/>
    <w:lvl w:ilvl="0" w:tplc="D46CB8AA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1B89"/>
    <w:multiLevelType w:val="hybridMultilevel"/>
    <w:tmpl w:val="041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2FC1"/>
    <w:multiLevelType w:val="hybridMultilevel"/>
    <w:tmpl w:val="22BAB374"/>
    <w:lvl w:ilvl="0" w:tplc="614407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2574C"/>
    <w:multiLevelType w:val="hybridMultilevel"/>
    <w:tmpl w:val="9B92C9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B31814"/>
    <w:multiLevelType w:val="hybridMultilevel"/>
    <w:tmpl w:val="9B80E5CE"/>
    <w:lvl w:ilvl="0" w:tplc="89C0FB1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B7B79"/>
    <w:multiLevelType w:val="hybridMultilevel"/>
    <w:tmpl w:val="A57E5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60648"/>
    <w:multiLevelType w:val="hybridMultilevel"/>
    <w:tmpl w:val="5BA2E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011C7"/>
    <w:multiLevelType w:val="hybridMultilevel"/>
    <w:tmpl w:val="805270DC"/>
    <w:lvl w:ilvl="0" w:tplc="5FC47060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3"/>
    <w:rsid w:val="00001916"/>
    <w:rsid w:val="00005B1A"/>
    <w:rsid w:val="000062CC"/>
    <w:rsid w:val="00066C3F"/>
    <w:rsid w:val="00075055"/>
    <w:rsid w:val="0008648C"/>
    <w:rsid w:val="000C3C1B"/>
    <w:rsid w:val="000F2570"/>
    <w:rsid w:val="001005D6"/>
    <w:rsid w:val="00122823"/>
    <w:rsid w:val="00126C35"/>
    <w:rsid w:val="001279AF"/>
    <w:rsid w:val="00135543"/>
    <w:rsid w:val="00151957"/>
    <w:rsid w:val="001639B8"/>
    <w:rsid w:val="00163C8E"/>
    <w:rsid w:val="001A396A"/>
    <w:rsid w:val="001B5F32"/>
    <w:rsid w:val="001C53CF"/>
    <w:rsid w:val="001C6711"/>
    <w:rsid w:val="001C6C1A"/>
    <w:rsid w:val="001D2A0D"/>
    <w:rsid w:val="00294351"/>
    <w:rsid w:val="002A009B"/>
    <w:rsid w:val="002A48A5"/>
    <w:rsid w:val="00301C0A"/>
    <w:rsid w:val="00374081"/>
    <w:rsid w:val="00382349"/>
    <w:rsid w:val="003D2318"/>
    <w:rsid w:val="003F07D9"/>
    <w:rsid w:val="0040774E"/>
    <w:rsid w:val="004905E0"/>
    <w:rsid w:val="004A1BB8"/>
    <w:rsid w:val="005560AE"/>
    <w:rsid w:val="00567EA9"/>
    <w:rsid w:val="00574148"/>
    <w:rsid w:val="005853DB"/>
    <w:rsid w:val="00586409"/>
    <w:rsid w:val="005C4D4B"/>
    <w:rsid w:val="00630955"/>
    <w:rsid w:val="0065634A"/>
    <w:rsid w:val="00664409"/>
    <w:rsid w:val="006C0117"/>
    <w:rsid w:val="006C22F7"/>
    <w:rsid w:val="006E6C3B"/>
    <w:rsid w:val="00715D68"/>
    <w:rsid w:val="00734AAF"/>
    <w:rsid w:val="00773245"/>
    <w:rsid w:val="00781BF8"/>
    <w:rsid w:val="0078212B"/>
    <w:rsid w:val="007A05D3"/>
    <w:rsid w:val="007A189E"/>
    <w:rsid w:val="00856BC8"/>
    <w:rsid w:val="00886F17"/>
    <w:rsid w:val="008A2FFF"/>
    <w:rsid w:val="008A34BA"/>
    <w:rsid w:val="008B1E44"/>
    <w:rsid w:val="008E1D97"/>
    <w:rsid w:val="0095397A"/>
    <w:rsid w:val="0097582F"/>
    <w:rsid w:val="00985945"/>
    <w:rsid w:val="009A488C"/>
    <w:rsid w:val="009C5E25"/>
    <w:rsid w:val="00A0705D"/>
    <w:rsid w:val="00A173E6"/>
    <w:rsid w:val="00A44985"/>
    <w:rsid w:val="00A60C1D"/>
    <w:rsid w:val="00A81D21"/>
    <w:rsid w:val="00AA0A8C"/>
    <w:rsid w:val="00AD1F21"/>
    <w:rsid w:val="00B30738"/>
    <w:rsid w:val="00B433B9"/>
    <w:rsid w:val="00B86926"/>
    <w:rsid w:val="00B87831"/>
    <w:rsid w:val="00BC0FA8"/>
    <w:rsid w:val="00C67E1E"/>
    <w:rsid w:val="00C74C4C"/>
    <w:rsid w:val="00C81438"/>
    <w:rsid w:val="00CA1A6D"/>
    <w:rsid w:val="00CA1CCA"/>
    <w:rsid w:val="00CC1C18"/>
    <w:rsid w:val="00D62B39"/>
    <w:rsid w:val="00D71680"/>
    <w:rsid w:val="00D875DF"/>
    <w:rsid w:val="00DD6B7F"/>
    <w:rsid w:val="00E10B4A"/>
    <w:rsid w:val="00E139EC"/>
    <w:rsid w:val="00E25DBD"/>
    <w:rsid w:val="00E604A0"/>
    <w:rsid w:val="00E706FA"/>
    <w:rsid w:val="00E81216"/>
    <w:rsid w:val="00EA7A57"/>
    <w:rsid w:val="00EB121C"/>
    <w:rsid w:val="00EC6BFE"/>
    <w:rsid w:val="00ED6EF3"/>
    <w:rsid w:val="00F030F2"/>
    <w:rsid w:val="00F571D8"/>
    <w:rsid w:val="00F91E9B"/>
    <w:rsid w:val="00FA0A4B"/>
    <w:rsid w:val="00FE34BA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1C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5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4AAF"/>
  </w:style>
  <w:style w:type="paragraph" w:styleId="Bunntekst">
    <w:name w:val="footer"/>
    <w:basedOn w:val="Normal"/>
    <w:link w:val="Bunn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AAF"/>
  </w:style>
  <w:style w:type="paragraph" w:styleId="Bobletekst">
    <w:name w:val="Balloon Text"/>
    <w:basedOn w:val="Normal"/>
    <w:link w:val="BobletekstTegn"/>
    <w:uiPriority w:val="99"/>
    <w:semiHidden/>
    <w:unhideWhenUsed/>
    <w:rsid w:val="00734AA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4AAF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EC6BFE"/>
  </w:style>
  <w:style w:type="character" w:styleId="Hyperkobling">
    <w:name w:val="Hyperlink"/>
    <w:basedOn w:val="Standardskriftforavsnitt"/>
    <w:uiPriority w:val="99"/>
    <w:unhideWhenUsed/>
    <w:rsid w:val="0013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5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4AAF"/>
  </w:style>
  <w:style w:type="paragraph" w:styleId="Bunntekst">
    <w:name w:val="footer"/>
    <w:basedOn w:val="Normal"/>
    <w:link w:val="Bunn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AAF"/>
  </w:style>
  <w:style w:type="paragraph" w:styleId="Bobletekst">
    <w:name w:val="Balloon Text"/>
    <w:basedOn w:val="Normal"/>
    <w:link w:val="BobletekstTegn"/>
    <w:uiPriority w:val="99"/>
    <w:semiHidden/>
    <w:unhideWhenUsed/>
    <w:rsid w:val="00734AA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4AAF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EC6BFE"/>
  </w:style>
  <w:style w:type="character" w:styleId="Hyperkobling">
    <w:name w:val="Hyperlink"/>
    <w:basedOn w:val="Standardskriftforavsnitt"/>
    <w:uiPriority w:val="99"/>
    <w:unhideWhenUsed/>
    <w:rsid w:val="0013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7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3274</Words>
  <Characters>17357</Characters>
  <Application>Microsoft Macintosh Word</Application>
  <DocSecurity>0</DocSecurity>
  <Lines>144</Lines>
  <Paragraphs>41</Paragraphs>
  <ScaleCrop>false</ScaleCrop>
  <Company>NOPA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Tangestuen</dc:creator>
  <cp:keywords/>
  <dc:description/>
  <cp:lastModifiedBy>Marthe Vee</cp:lastModifiedBy>
  <cp:revision>2</cp:revision>
  <cp:lastPrinted>2017-06-20T14:17:00Z</cp:lastPrinted>
  <dcterms:created xsi:type="dcterms:W3CDTF">2017-06-22T08:38:00Z</dcterms:created>
  <dcterms:modified xsi:type="dcterms:W3CDTF">2017-06-22T08:38:00Z</dcterms:modified>
</cp:coreProperties>
</file>